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BE" w:rsidRPr="00AE78BE" w:rsidRDefault="00AE78BE" w:rsidP="00AE78BE">
      <w:pPr>
        <w:shd w:val="clear" w:color="auto" w:fill="FFFFFF"/>
        <w:adjustRightInd/>
        <w:snapToGrid/>
        <w:spacing w:after="0" w:line="720" w:lineRule="atLeast"/>
        <w:jc w:val="center"/>
        <w:outlineLvl w:val="2"/>
        <w:rPr>
          <w:rFonts w:ascii="microsoft yahei" w:eastAsia="宋体" w:hAnsi="microsoft yahei" w:cs="宋体"/>
          <w:b/>
          <w:bCs/>
          <w:color w:val="333333"/>
          <w:spacing w:val="-1"/>
          <w:sz w:val="29"/>
          <w:szCs w:val="29"/>
        </w:rPr>
      </w:pPr>
      <w:r>
        <w:rPr>
          <w:rFonts w:ascii="microsoft yahei" w:eastAsia="宋体" w:hAnsi="microsoft yahei" w:cs="宋体" w:hint="eastAsia"/>
          <w:b/>
          <w:bCs/>
          <w:color w:val="333333"/>
          <w:spacing w:val="-1"/>
          <w:sz w:val="29"/>
          <w:szCs w:val="29"/>
        </w:rPr>
        <w:t>镇赉县</w:t>
      </w:r>
      <w:r w:rsidRPr="00AE78BE">
        <w:rPr>
          <w:rFonts w:ascii="microsoft yahei" w:eastAsia="宋体" w:hAnsi="microsoft yahei" w:cs="宋体"/>
          <w:b/>
          <w:bCs/>
          <w:color w:val="333333"/>
          <w:spacing w:val="-1"/>
          <w:sz w:val="29"/>
          <w:szCs w:val="29"/>
        </w:rPr>
        <w:t>人民法院登记立案制运行情况</w:t>
      </w:r>
    </w:p>
    <w:p w:rsidR="00AE78BE" w:rsidRPr="00AE78BE" w:rsidRDefault="00AE78BE" w:rsidP="00AE78BE">
      <w:pPr>
        <w:shd w:val="clear" w:color="auto" w:fill="FFFFFF"/>
        <w:adjustRightInd/>
        <w:snapToGrid/>
        <w:spacing w:after="0"/>
        <w:rPr>
          <w:rFonts w:ascii="microsoft yahei" w:eastAsia="宋体" w:hAnsi="microsoft yahei" w:cs="宋体"/>
          <w:color w:val="000000"/>
          <w:sz w:val="17"/>
          <w:szCs w:val="17"/>
        </w:rPr>
      </w:pPr>
      <w:r w:rsidRPr="00AE78BE">
        <w:rPr>
          <w:rFonts w:ascii="microsoft yahei" w:eastAsia="宋体" w:hAnsi="microsoft yahei" w:cs="宋体"/>
          <w:color w:val="000000"/>
          <w:sz w:val="17"/>
          <w:szCs w:val="17"/>
        </w:rPr>
        <w:t> </w:t>
      </w:r>
    </w:p>
    <w:p w:rsidR="00AE78BE" w:rsidRPr="00AE78BE" w:rsidRDefault="00AE78BE" w:rsidP="00AE78BE">
      <w:pPr>
        <w:shd w:val="clear" w:color="auto" w:fill="FFFFFF"/>
        <w:adjustRightInd/>
        <w:snapToGrid/>
        <w:spacing w:after="0"/>
        <w:rPr>
          <w:rFonts w:ascii="microsoft yahei" w:eastAsia="宋体" w:hAnsi="microsoft yahei" w:cs="宋体"/>
          <w:color w:val="000000"/>
          <w:sz w:val="17"/>
          <w:szCs w:val="17"/>
        </w:rPr>
      </w:pPr>
      <w:r w:rsidRPr="00AE78BE">
        <w:rPr>
          <w:rFonts w:ascii="microsoft yahei" w:eastAsia="宋体" w:hAnsi="microsoft yahei" w:cs="宋体"/>
          <w:color w:val="000000"/>
          <w:sz w:val="17"/>
          <w:szCs w:val="17"/>
        </w:rPr>
        <w:t> </w:t>
      </w:r>
    </w:p>
    <w:p w:rsidR="00AE78BE" w:rsidRPr="00AE78BE" w:rsidRDefault="00AE78BE" w:rsidP="00AE78BE">
      <w:pPr>
        <w:shd w:val="clear" w:color="auto" w:fill="FFFFFF"/>
        <w:adjustRightInd/>
        <w:snapToGrid/>
        <w:spacing w:after="0"/>
        <w:ind w:firstLine="640"/>
        <w:rPr>
          <w:rFonts w:ascii="microsoft yahei" w:eastAsia="宋体" w:hAnsi="microsoft yahei" w:cs="宋体"/>
          <w:color w:val="000000"/>
          <w:sz w:val="27"/>
          <w:szCs w:val="27"/>
          <w:bdr w:val="none" w:sz="0" w:space="0" w:color="auto" w:frame="1"/>
        </w:rPr>
      </w:pPr>
      <w:r w:rsidRPr="00AE78BE">
        <w:rPr>
          <w:rFonts w:ascii="microsoft yahei" w:eastAsia="宋体" w:hAnsi="microsoft yahei" w:cs="宋体"/>
          <w:color w:val="000000"/>
          <w:sz w:val="17"/>
          <w:szCs w:val="17"/>
          <w:bdr w:val="none" w:sz="0" w:space="0" w:color="auto" w:frame="1"/>
        </w:rPr>
        <w:t xml:space="preserve">         </w:t>
      </w:r>
      <w:r w:rsidR="00AF4B9F">
        <w:rPr>
          <w:rFonts w:ascii="microsoft yahei" w:eastAsia="宋体" w:hAnsi="microsoft yahei" w:cs="宋体" w:hint="eastAsia"/>
          <w:color w:val="000000"/>
          <w:sz w:val="27"/>
          <w:szCs w:val="27"/>
          <w:bdr w:val="none" w:sz="0" w:space="0" w:color="auto" w:frame="1"/>
        </w:rPr>
        <w:t>我院</w:t>
      </w:r>
      <w:r w:rsidRPr="00AE78BE">
        <w:rPr>
          <w:rFonts w:ascii="microsoft yahei" w:eastAsia="宋体" w:hAnsi="microsoft yahei" w:cs="宋体"/>
          <w:color w:val="000000"/>
          <w:sz w:val="27"/>
          <w:szCs w:val="27"/>
          <w:bdr w:val="none" w:sz="0" w:space="0" w:color="auto" w:frame="1"/>
        </w:rPr>
        <w:t>登记立案制度实施以来，</w:t>
      </w:r>
      <w:r>
        <w:rPr>
          <w:rFonts w:ascii="microsoft yahei" w:eastAsia="宋体" w:hAnsi="microsoft yahei" w:cs="宋体" w:hint="eastAsia"/>
          <w:color w:val="000000"/>
          <w:sz w:val="27"/>
          <w:szCs w:val="27"/>
          <w:bdr w:val="none" w:sz="0" w:space="0" w:color="auto" w:frame="1"/>
        </w:rPr>
        <w:t>镇赉</w:t>
      </w:r>
      <w:r w:rsidRPr="00AE78BE">
        <w:rPr>
          <w:rFonts w:ascii="microsoft yahei" w:eastAsia="宋体" w:hAnsi="microsoft yahei" w:cs="宋体"/>
          <w:color w:val="000000"/>
          <w:sz w:val="27"/>
          <w:szCs w:val="27"/>
          <w:bdr w:val="none" w:sz="0" w:space="0" w:color="auto" w:frame="1"/>
        </w:rPr>
        <w:t>法院严格按照《最高人民法院关于人民法院登记立案若干问题的规定》的法律规定，针对符合起诉条件、需补正材料、不予受理等三类不同类型的案件分别处理。首先，符合起诉条件的当场予以立案，实现高效立案；其次，需补正材料的当场一次性告知当事人补正，避免当事人因立案多次折返法院，减轻当事人诉累；第三，针对不符合起诉条件的案件严格按照登记立案制的规定书面裁定不予受理，绝不主观不立案，口头搪塞当事人，并向当事人交代不服本裁定的救济权利。立案登记制实施一年多来，本院努力克服困难，对依法应当受理的案件切实做到</w:t>
      </w:r>
      <w:r w:rsidRPr="00AE78BE">
        <w:rPr>
          <w:rFonts w:ascii="microsoft yahei" w:eastAsia="宋体" w:hAnsi="microsoft yahei" w:cs="宋体"/>
          <w:color w:val="000000"/>
          <w:sz w:val="27"/>
          <w:szCs w:val="27"/>
          <w:bdr w:val="none" w:sz="0" w:space="0" w:color="auto" w:frame="1"/>
        </w:rPr>
        <w:t>“</w:t>
      </w:r>
      <w:r w:rsidRPr="00AE78BE">
        <w:rPr>
          <w:rFonts w:ascii="microsoft yahei" w:eastAsia="宋体" w:hAnsi="microsoft yahei" w:cs="宋体"/>
          <w:color w:val="000000"/>
          <w:sz w:val="27"/>
          <w:szCs w:val="27"/>
          <w:bdr w:val="none" w:sz="0" w:space="0" w:color="auto" w:frame="1"/>
        </w:rPr>
        <w:t>有案必立、有诉必理</w:t>
      </w:r>
      <w:r w:rsidRPr="00AE78BE">
        <w:rPr>
          <w:rFonts w:ascii="microsoft yahei" w:eastAsia="宋体" w:hAnsi="microsoft yahei" w:cs="宋体"/>
          <w:color w:val="000000"/>
          <w:sz w:val="27"/>
          <w:szCs w:val="27"/>
          <w:bdr w:val="none" w:sz="0" w:space="0" w:color="auto" w:frame="1"/>
        </w:rPr>
        <w:t>”</w:t>
      </w:r>
      <w:r w:rsidRPr="00AE78BE">
        <w:rPr>
          <w:rFonts w:ascii="microsoft yahei" w:eastAsia="宋体" w:hAnsi="microsoft yahei" w:cs="宋体"/>
          <w:color w:val="000000"/>
          <w:sz w:val="27"/>
          <w:szCs w:val="27"/>
          <w:bdr w:val="none" w:sz="0" w:space="0" w:color="auto" w:frame="1"/>
        </w:rPr>
        <w:t>，当场登记立案率达到较高水平，基本解决</w:t>
      </w:r>
      <w:r w:rsidRPr="00AE78BE">
        <w:rPr>
          <w:rFonts w:ascii="microsoft yahei" w:eastAsia="宋体" w:hAnsi="microsoft yahei" w:cs="宋体"/>
          <w:color w:val="000000"/>
          <w:sz w:val="27"/>
          <w:szCs w:val="27"/>
          <w:bdr w:val="none" w:sz="0" w:space="0" w:color="auto" w:frame="1"/>
        </w:rPr>
        <w:t>“</w:t>
      </w:r>
      <w:r w:rsidRPr="00AE78BE">
        <w:rPr>
          <w:rFonts w:ascii="microsoft yahei" w:eastAsia="宋体" w:hAnsi="microsoft yahei" w:cs="宋体"/>
          <w:color w:val="000000"/>
          <w:sz w:val="27"/>
          <w:szCs w:val="27"/>
          <w:bdr w:val="none" w:sz="0" w:space="0" w:color="auto" w:frame="1"/>
        </w:rPr>
        <w:t>立案难</w:t>
      </w:r>
      <w:r w:rsidRPr="00AE78BE">
        <w:rPr>
          <w:rFonts w:ascii="microsoft yahei" w:eastAsia="宋体" w:hAnsi="microsoft yahei" w:cs="宋体"/>
          <w:color w:val="000000"/>
          <w:sz w:val="27"/>
          <w:szCs w:val="27"/>
          <w:bdr w:val="none" w:sz="0" w:space="0" w:color="auto" w:frame="1"/>
        </w:rPr>
        <w:t>”</w:t>
      </w:r>
      <w:r w:rsidRPr="00AE78BE">
        <w:rPr>
          <w:rFonts w:ascii="microsoft yahei" w:eastAsia="宋体" w:hAnsi="microsoft yahei" w:cs="宋体"/>
          <w:color w:val="000000"/>
          <w:sz w:val="27"/>
          <w:szCs w:val="27"/>
          <w:bdr w:val="none" w:sz="0" w:space="0" w:color="auto" w:frame="1"/>
        </w:rPr>
        <w:t>的问题。</w:t>
      </w:r>
    </w:p>
    <w:p w:rsidR="00AE78BE" w:rsidRPr="00AE78BE" w:rsidRDefault="00AE78BE" w:rsidP="00AE78BE">
      <w:pPr>
        <w:shd w:val="clear" w:color="auto" w:fill="FFFFFF"/>
        <w:adjustRightInd/>
        <w:snapToGrid/>
        <w:spacing w:after="0"/>
        <w:ind w:firstLine="640"/>
        <w:rPr>
          <w:rFonts w:ascii="microsoft yahei" w:eastAsia="宋体" w:hAnsi="microsoft yahei" w:cs="宋体"/>
          <w:color w:val="000000"/>
          <w:sz w:val="27"/>
          <w:szCs w:val="27"/>
          <w:bdr w:val="none" w:sz="0" w:space="0" w:color="auto" w:frame="1"/>
        </w:rPr>
      </w:pPr>
      <w:r w:rsidRPr="00AE78BE">
        <w:rPr>
          <w:rFonts w:ascii="microsoft yahei" w:eastAsia="宋体" w:hAnsi="microsoft yahei" w:cs="宋体"/>
          <w:color w:val="000000"/>
          <w:sz w:val="27"/>
          <w:szCs w:val="27"/>
          <w:bdr w:val="none" w:sz="0" w:space="0" w:color="auto" w:frame="1"/>
        </w:rPr>
        <w:t>    </w:t>
      </w:r>
    </w:p>
    <w:p w:rsidR="00AE78BE" w:rsidRPr="00AE78BE" w:rsidRDefault="00F47231" w:rsidP="00AE78BE">
      <w:pPr>
        <w:shd w:val="clear" w:color="auto" w:fill="FFFFFF"/>
        <w:adjustRightInd/>
        <w:snapToGrid/>
        <w:spacing w:after="0"/>
        <w:ind w:firstLine="640"/>
        <w:rPr>
          <w:rFonts w:ascii="microsoft yahei" w:eastAsia="宋体" w:hAnsi="microsoft yahei" w:cs="宋体"/>
          <w:color w:val="000000"/>
          <w:sz w:val="27"/>
          <w:szCs w:val="27"/>
          <w:bdr w:val="none" w:sz="0" w:space="0" w:color="auto" w:frame="1"/>
        </w:rPr>
      </w:pPr>
      <w:r>
        <w:rPr>
          <w:rFonts w:ascii="microsoft yahei" w:eastAsia="宋体" w:hAnsi="microsoft yahei" w:cs="宋体" w:hint="eastAsia"/>
          <w:color w:val="000000"/>
          <w:sz w:val="27"/>
          <w:szCs w:val="27"/>
          <w:bdr w:val="none" w:sz="0" w:space="0" w:color="auto" w:frame="1"/>
        </w:rPr>
        <w:t>我院</w:t>
      </w:r>
      <w:r w:rsidR="00AE78BE" w:rsidRPr="00AE78BE">
        <w:rPr>
          <w:rFonts w:ascii="microsoft yahei" w:eastAsia="宋体" w:hAnsi="microsoft yahei" w:cs="宋体"/>
          <w:color w:val="000000"/>
          <w:sz w:val="27"/>
          <w:szCs w:val="27"/>
          <w:bdr w:val="none" w:sz="0" w:space="0" w:color="auto" w:frame="1"/>
        </w:rPr>
        <w:t>自实行立案登记制以来，</w:t>
      </w:r>
      <w:r>
        <w:rPr>
          <w:rFonts w:ascii="microsoft yahei" w:eastAsia="宋体" w:hAnsi="microsoft yahei" w:cs="宋体"/>
          <w:color w:val="000000"/>
          <w:sz w:val="27"/>
          <w:szCs w:val="27"/>
          <w:bdr w:val="none" w:sz="0" w:space="0" w:color="auto" w:frame="1"/>
        </w:rPr>
        <w:t>201</w:t>
      </w:r>
      <w:r>
        <w:rPr>
          <w:rFonts w:ascii="microsoft yahei" w:eastAsia="宋体" w:hAnsi="microsoft yahei" w:cs="宋体" w:hint="eastAsia"/>
          <w:color w:val="000000"/>
          <w:sz w:val="27"/>
          <w:szCs w:val="27"/>
          <w:bdr w:val="none" w:sz="0" w:space="0" w:color="auto" w:frame="1"/>
        </w:rPr>
        <w:t>6</w:t>
      </w:r>
      <w:r w:rsidR="00AE78BE" w:rsidRPr="00AE78BE">
        <w:rPr>
          <w:rFonts w:ascii="microsoft yahei" w:eastAsia="宋体" w:hAnsi="microsoft yahei" w:cs="宋体"/>
          <w:color w:val="000000"/>
          <w:sz w:val="27"/>
          <w:szCs w:val="27"/>
          <w:bdr w:val="none" w:sz="0" w:space="0" w:color="auto" w:frame="1"/>
        </w:rPr>
        <w:t>年全年收案</w:t>
      </w:r>
      <w:r>
        <w:rPr>
          <w:rFonts w:ascii="microsoft yahei" w:eastAsia="宋体" w:hAnsi="microsoft yahei" w:cs="宋体" w:hint="eastAsia"/>
          <w:color w:val="000000"/>
          <w:sz w:val="27"/>
          <w:szCs w:val="27"/>
          <w:bdr w:val="none" w:sz="0" w:space="0" w:color="auto" w:frame="1"/>
        </w:rPr>
        <w:t>2647</w:t>
      </w:r>
      <w:r w:rsidR="00AE78BE" w:rsidRPr="00AE78BE">
        <w:rPr>
          <w:rFonts w:ascii="microsoft yahei" w:eastAsia="宋体" w:hAnsi="microsoft yahei" w:cs="宋体"/>
          <w:color w:val="000000"/>
          <w:sz w:val="27"/>
          <w:szCs w:val="27"/>
          <w:bdr w:val="none" w:sz="0" w:space="0" w:color="auto" w:frame="1"/>
        </w:rPr>
        <w:t>件，</w:t>
      </w:r>
      <w:r>
        <w:rPr>
          <w:rFonts w:ascii="microsoft yahei" w:eastAsia="宋体" w:hAnsi="microsoft yahei" w:cs="宋体"/>
          <w:color w:val="000000"/>
          <w:sz w:val="27"/>
          <w:szCs w:val="27"/>
          <w:bdr w:val="none" w:sz="0" w:space="0" w:color="auto" w:frame="1"/>
        </w:rPr>
        <w:t>201</w:t>
      </w:r>
      <w:r>
        <w:rPr>
          <w:rFonts w:ascii="microsoft yahei" w:eastAsia="宋体" w:hAnsi="microsoft yahei" w:cs="宋体" w:hint="eastAsia"/>
          <w:color w:val="000000"/>
          <w:sz w:val="27"/>
          <w:szCs w:val="27"/>
          <w:bdr w:val="none" w:sz="0" w:space="0" w:color="auto" w:frame="1"/>
        </w:rPr>
        <w:t>7</w:t>
      </w:r>
      <w:r w:rsidR="00AE78BE" w:rsidRPr="00AE78BE">
        <w:rPr>
          <w:rFonts w:ascii="microsoft yahei" w:eastAsia="宋体" w:hAnsi="microsoft yahei" w:cs="宋体"/>
          <w:color w:val="000000"/>
          <w:sz w:val="27"/>
          <w:szCs w:val="27"/>
          <w:bdr w:val="none" w:sz="0" w:space="0" w:color="auto" w:frame="1"/>
        </w:rPr>
        <w:t>年全年收案</w:t>
      </w:r>
      <w:r>
        <w:rPr>
          <w:rFonts w:ascii="microsoft yahei" w:eastAsia="宋体" w:hAnsi="microsoft yahei" w:cs="宋体" w:hint="eastAsia"/>
          <w:color w:val="000000"/>
          <w:sz w:val="27"/>
          <w:szCs w:val="27"/>
          <w:bdr w:val="none" w:sz="0" w:space="0" w:color="auto" w:frame="1"/>
        </w:rPr>
        <w:t>2730</w:t>
      </w:r>
      <w:r w:rsidR="00AE78BE" w:rsidRPr="00AE78BE">
        <w:rPr>
          <w:rFonts w:ascii="microsoft yahei" w:eastAsia="宋体" w:hAnsi="microsoft yahei" w:cs="宋体"/>
          <w:color w:val="000000"/>
          <w:sz w:val="27"/>
          <w:szCs w:val="27"/>
          <w:bdr w:val="none" w:sz="0" w:space="0" w:color="auto" w:frame="1"/>
        </w:rPr>
        <w:t>件，</w:t>
      </w:r>
      <w:r>
        <w:rPr>
          <w:rFonts w:ascii="microsoft yahei" w:eastAsia="宋体" w:hAnsi="microsoft yahei" w:cs="宋体"/>
          <w:color w:val="000000"/>
          <w:sz w:val="27"/>
          <w:szCs w:val="27"/>
          <w:bdr w:val="none" w:sz="0" w:space="0" w:color="auto" w:frame="1"/>
        </w:rPr>
        <w:t>201</w:t>
      </w:r>
      <w:r>
        <w:rPr>
          <w:rFonts w:ascii="microsoft yahei" w:eastAsia="宋体" w:hAnsi="microsoft yahei" w:cs="宋体" w:hint="eastAsia"/>
          <w:color w:val="000000"/>
          <w:sz w:val="27"/>
          <w:szCs w:val="27"/>
          <w:bdr w:val="none" w:sz="0" w:space="0" w:color="auto" w:frame="1"/>
        </w:rPr>
        <w:t>8</w:t>
      </w:r>
      <w:r w:rsidR="00AE78BE" w:rsidRPr="00AE78BE">
        <w:rPr>
          <w:rFonts w:ascii="microsoft yahei" w:eastAsia="宋体" w:hAnsi="microsoft yahei" w:cs="宋体"/>
          <w:color w:val="000000"/>
          <w:sz w:val="27"/>
          <w:szCs w:val="27"/>
          <w:bdr w:val="none" w:sz="0" w:space="0" w:color="auto" w:frame="1"/>
        </w:rPr>
        <w:t>年全年收案</w:t>
      </w:r>
      <w:r>
        <w:rPr>
          <w:rFonts w:ascii="microsoft yahei" w:eastAsia="宋体" w:hAnsi="microsoft yahei" w:cs="宋体" w:hint="eastAsia"/>
          <w:color w:val="000000"/>
          <w:sz w:val="27"/>
          <w:szCs w:val="27"/>
          <w:bdr w:val="none" w:sz="0" w:space="0" w:color="auto" w:frame="1"/>
        </w:rPr>
        <w:t>3536</w:t>
      </w:r>
      <w:r w:rsidR="00AE78BE" w:rsidRPr="00AE78BE">
        <w:rPr>
          <w:rFonts w:ascii="microsoft yahei" w:eastAsia="宋体" w:hAnsi="microsoft yahei" w:cs="宋体"/>
          <w:color w:val="000000"/>
          <w:sz w:val="27"/>
          <w:szCs w:val="27"/>
          <w:bdr w:val="none" w:sz="0" w:space="0" w:color="auto" w:frame="1"/>
        </w:rPr>
        <w:t>件。民事案件立案登记情况良好。</w:t>
      </w:r>
      <w:r w:rsidR="00AE78BE" w:rsidRPr="00AE78BE">
        <w:rPr>
          <w:rFonts w:ascii="microsoft yahei" w:eastAsia="宋体" w:hAnsi="microsoft yahei" w:cs="宋体"/>
          <w:color w:val="000000"/>
          <w:sz w:val="27"/>
          <w:szCs w:val="27"/>
          <w:bdr w:val="none" w:sz="0" w:space="0" w:color="auto" w:frame="1"/>
        </w:rPr>
        <w:t>   </w:t>
      </w:r>
    </w:p>
    <w:p w:rsidR="00AE78BE" w:rsidRPr="00AE78BE" w:rsidRDefault="00AE78BE" w:rsidP="00AE78BE">
      <w:pPr>
        <w:shd w:val="clear" w:color="auto" w:fill="FFFFFF"/>
        <w:adjustRightInd/>
        <w:snapToGrid/>
        <w:spacing w:after="0"/>
        <w:rPr>
          <w:rFonts w:ascii="microsoft yahei" w:eastAsia="宋体" w:hAnsi="microsoft yahei" w:cs="宋体"/>
          <w:color w:val="000000"/>
          <w:sz w:val="17"/>
          <w:szCs w:val="17"/>
        </w:rPr>
      </w:pPr>
      <w:r w:rsidRPr="00AE78BE">
        <w:rPr>
          <w:rFonts w:ascii="microsoft yahei" w:eastAsia="宋体" w:hAnsi="microsoft yahei" w:cs="宋体"/>
          <w:color w:val="000000"/>
          <w:sz w:val="27"/>
          <w:szCs w:val="27"/>
          <w:bdr w:val="none" w:sz="0" w:space="0" w:color="auto" w:frame="1"/>
        </w:rPr>
        <w:t> </w:t>
      </w:r>
    </w:p>
    <w:p w:rsidR="00AE78BE" w:rsidRPr="00AE78BE" w:rsidRDefault="00AE78BE" w:rsidP="00AE78BE">
      <w:pPr>
        <w:shd w:val="clear" w:color="auto" w:fill="FFFFFF"/>
        <w:adjustRightInd/>
        <w:snapToGrid/>
        <w:spacing w:after="0"/>
        <w:ind w:firstLine="640"/>
        <w:rPr>
          <w:rFonts w:ascii="microsoft yahei" w:eastAsia="宋体" w:hAnsi="microsoft yahei" w:cs="宋体"/>
          <w:color w:val="000000"/>
          <w:sz w:val="17"/>
          <w:szCs w:val="17"/>
        </w:rPr>
      </w:pPr>
      <w:r w:rsidRPr="00AE78BE">
        <w:rPr>
          <w:rFonts w:ascii="microsoft yahei" w:eastAsia="宋体" w:hAnsi="microsoft yahei" w:cs="宋体"/>
          <w:color w:val="000000"/>
          <w:sz w:val="27"/>
          <w:szCs w:val="27"/>
          <w:bdr w:val="none" w:sz="0" w:space="0" w:color="auto" w:frame="1"/>
        </w:rPr>
        <w:t>立案登记制在方便群众诉讼的同时，一些滥用诉权的奇葩案件也随之增加，这些滥用诉权的行为，干扰了正常审判秩序，挤占了有限的司法资源，甚至会造成相对人的损害。原因在于，有的群众对立案登记制存在认识误区，片面的认为所有起诉法院都能立案，从而把一些不具有可诉性、不属于法院主管范围的事由，也要求法院</w:t>
      </w:r>
      <w:r w:rsidRPr="00AE78BE">
        <w:rPr>
          <w:rFonts w:ascii="microsoft yahei" w:eastAsia="宋体" w:hAnsi="microsoft yahei" w:cs="宋体"/>
          <w:color w:val="000000"/>
          <w:sz w:val="27"/>
          <w:szCs w:val="27"/>
          <w:bdr w:val="none" w:sz="0" w:space="0" w:color="auto" w:frame="1"/>
        </w:rPr>
        <w:t>“</w:t>
      </w:r>
      <w:r w:rsidRPr="00AE78BE">
        <w:rPr>
          <w:rFonts w:ascii="microsoft yahei" w:eastAsia="宋体" w:hAnsi="microsoft yahei" w:cs="宋体"/>
          <w:color w:val="000000"/>
          <w:sz w:val="27"/>
          <w:szCs w:val="27"/>
          <w:bdr w:val="none" w:sz="0" w:space="0" w:color="auto" w:frame="1"/>
        </w:rPr>
        <w:t>有案必立</w:t>
      </w:r>
      <w:r w:rsidRPr="00AE78BE">
        <w:rPr>
          <w:rFonts w:ascii="microsoft yahei" w:eastAsia="宋体" w:hAnsi="microsoft yahei" w:cs="宋体"/>
          <w:color w:val="000000"/>
          <w:sz w:val="27"/>
          <w:szCs w:val="27"/>
          <w:bdr w:val="none" w:sz="0" w:space="0" w:color="auto" w:frame="1"/>
        </w:rPr>
        <w:t>”</w:t>
      </w:r>
      <w:r w:rsidRPr="00AE78BE">
        <w:rPr>
          <w:rFonts w:ascii="microsoft yahei" w:eastAsia="宋体" w:hAnsi="microsoft yahei" w:cs="宋体"/>
          <w:color w:val="000000"/>
          <w:sz w:val="27"/>
          <w:szCs w:val="27"/>
          <w:bdr w:val="none" w:sz="0" w:space="0" w:color="auto" w:frame="1"/>
        </w:rPr>
        <w:t>。同时，也有个别当事人出于不合法的动机和目的，利用法律赋予的诉权，以合法形式进行不正当的诉讼，以期通过诉讼谋取不正当利益或者损害他人利益的行为。法院</w:t>
      </w:r>
      <w:r w:rsidRPr="00AE78BE">
        <w:rPr>
          <w:rFonts w:ascii="microsoft yahei" w:eastAsia="宋体" w:hAnsi="microsoft yahei" w:cs="宋体"/>
          <w:color w:val="000000"/>
          <w:sz w:val="27"/>
          <w:szCs w:val="27"/>
          <w:bdr w:val="none" w:sz="0" w:space="0" w:color="auto" w:frame="1"/>
        </w:rPr>
        <w:t>“</w:t>
      </w:r>
      <w:r w:rsidRPr="00AE78BE">
        <w:rPr>
          <w:rFonts w:ascii="microsoft yahei" w:eastAsia="宋体" w:hAnsi="microsoft yahei" w:cs="宋体"/>
          <w:color w:val="000000"/>
          <w:sz w:val="27"/>
          <w:szCs w:val="27"/>
          <w:bdr w:val="none" w:sz="0" w:space="0" w:color="auto" w:frame="1"/>
        </w:rPr>
        <w:t>有案必立、有诉必理</w:t>
      </w:r>
      <w:r w:rsidRPr="00AE78BE">
        <w:rPr>
          <w:rFonts w:ascii="microsoft yahei" w:eastAsia="宋体" w:hAnsi="microsoft yahei" w:cs="宋体"/>
          <w:color w:val="000000"/>
          <w:sz w:val="27"/>
          <w:szCs w:val="27"/>
          <w:bdr w:val="none" w:sz="0" w:space="0" w:color="auto" w:frame="1"/>
        </w:rPr>
        <w:t>”</w:t>
      </w:r>
      <w:r w:rsidRPr="00AE78BE">
        <w:rPr>
          <w:rFonts w:ascii="microsoft yahei" w:eastAsia="宋体" w:hAnsi="microsoft yahei" w:cs="宋体"/>
          <w:color w:val="000000"/>
          <w:sz w:val="27"/>
          <w:szCs w:val="27"/>
          <w:bdr w:val="none" w:sz="0" w:space="0" w:color="auto" w:frame="1"/>
        </w:rPr>
        <w:t>的前提，同样是依法应该受理的案件。《最高人民法院关于人民法院登记立案若干问题的规定》明确指出，对于</w:t>
      </w:r>
      <w:r w:rsidRPr="00AE78BE">
        <w:rPr>
          <w:rFonts w:ascii="microsoft yahei" w:eastAsia="宋体" w:hAnsi="microsoft yahei" w:cs="宋体"/>
          <w:color w:val="000000"/>
          <w:sz w:val="27"/>
          <w:szCs w:val="27"/>
          <w:bdr w:val="none" w:sz="0" w:space="0" w:color="auto" w:frame="1"/>
        </w:rPr>
        <w:t>“</w:t>
      </w:r>
      <w:r w:rsidRPr="00AE78BE">
        <w:rPr>
          <w:rFonts w:ascii="microsoft yahei" w:eastAsia="宋体" w:hAnsi="microsoft yahei" w:cs="宋体"/>
          <w:color w:val="000000"/>
          <w:sz w:val="27"/>
          <w:szCs w:val="27"/>
          <w:bdr w:val="none" w:sz="0" w:space="0" w:color="auto" w:frame="1"/>
        </w:rPr>
        <w:t>违法起诉或者不符合法律规定的</w:t>
      </w:r>
      <w:r w:rsidRPr="00AE78BE">
        <w:rPr>
          <w:rFonts w:ascii="microsoft yahei" w:eastAsia="宋体" w:hAnsi="microsoft yahei" w:cs="宋体"/>
          <w:color w:val="000000"/>
          <w:sz w:val="27"/>
          <w:szCs w:val="27"/>
          <w:bdr w:val="none" w:sz="0" w:space="0" w:color="auto" w:frame="1"/>
        </w:rPr>
        <w:t>”</w:t>
      </w:r>
      <w:r w:rsidRPr="00AE78BE">
        <w:rPr>
          <w:rFonts w:ascii="microsoft yahei" w:eastAsia="宋体" w:hAnsi="microsoft yahei" w:cs="宋体"/>
          <w:color w:val="000000"/>
          <w:sz w:val="27"/>
          <w:szCs w:val="27"/>
          <w:bdr w:val="none" w:sz="0" w:space="0" w:color="auto" w:frame="1"/>
        </w:rPr>
        <w:t>等五种情形的起诉、自诉、不予登记立案。对此，我们要加大宣传力度，消除公众误解，引导当事人更加珍惜和合理行使诉讼权利，避免滥用诉权。</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2A5" w:rsidRDefault="008242A5" w:rsidP="00AE78BE">
      <w:pPr>
        <w:spacing w:after="0"/>
      </w:pPr>
      <w:r>
        <w:separator/>
      </w:r>
    </w:p>
  </w:endnote>
  <w:endnote w:type="continuationSeparator" w:id="0">
    <w:p w:rsidR="008242A5" w:rsidRDefault="008242A5" w:rsidP="00AE78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2A5" w:rsidRDefault="008242A5" w:rsidP="00AE78BE">
      <w:pPr>
        <w:spacing w:after="0"/>
      </w:pPr>
      <w:r>
        <w:separator/>
      </w:r>
    </w:p>
  </w:footnote>
  <w:footnote w:type="continuationSeparator" w:id="0">
    <w:p w:rsidR="008242A5" w:rsidRDefault="008242A5" w:rsidP="00AE78B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242A5"/>
    <w:rsid w:val="008B7726"/>
    <w:rsid w:val="00AE78BE"/>
    <w:rsid w:val="00AF4B9F"/>
    <w:rsid w:val="00CF55F5"/>
    <w:rsid w:val="00D31D50"/>
    <w:rsid w:val="00F47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AE78BE"/>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78B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E78BE"/>
    <w:rPr>
      <w:rFonts w:ascii="Tahoma" w:hAnsi="Tahoma"/>
      <w:sz w:val="18"/>
      <w:szCs w:val="18"/>
    </w:rPr>
  </w:style>
  <w:style w:type="paragraph" w:styleId="a4">
    <w:name w:val="footer"/>
    <w:basedOn w:val="a"/>
    <w:link w:val="Char0"/>
    <w:uiPriority w:val="99"/>
    <w:semiHidden/>
    <w:unhideWhenUsed/>
    <w:rsid w:val="00AE78BE"/>
    <w:pPr>
      <w:tabs>
        <w:tab w:val="center" w:pos="4153"/>
        <w:tab w:val="right" w:pos="8306"/>
      </w:tabs>
    </w:pPr>
    <w:rPr>
      <w:sz w:val="18"/>
      <w:szCs w:val="18"/>
    </w:rPr>
  </w:style>
  <w:style w:type="character" w:customStyle="1" w:styleId="Char0">
    <w:name w:val="页脚 Char"/>
    <w:basedOn w:val="a0"/>
    <w:link w:val="a4"/>
    <w:uiPriority w:val="99"/>
    <w:semiHidden/>
    <w:rsid w:val="00AE78BE"/>
    <w:rPr>
      <w:rFonts w:ascii="Tahoma" w:hAnsi="Tahoma"/>
      <w:sz w:val="18"/>
      <w:szCs w:val="18"/>
    </w:rPr>
  </w:style>
  <w:style w:type="character" w:customStyle="1" w:styleId="3Char">
    <w:name w:val="标题 3 Char"/>
    <w:basedOn w:val="a0"/>
    <w:link w:val="3"/>
    <w:uiPriority w:val="9"/>
    <w:rsid w:val="00AE78BE"/>
    <w:rPr>
      <w:rFonts w:ascii="宋体" w:eastAsia="宋体" w:hAnsi="宋体" w:cs="宋体"/>
      <w:b/>
      <w:bCs/>
      <w:sz w:val="27"/>
      <w:szCs w:val="27"/>
    </w:rPr>
  </w:style>
  <w:style w:type="paragraph" w:styleId="a5">
    <w:name w:val="Normal (Web)"/>
    <w:basedOn w:val="a"/>
    <w:uiPriority w:val="99"/>
    <w:semiHidden/>
    <w:unhideWhenUsed/>
    <w:rsid w:val="00AE78B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10715092">
      <w:bodyDiv w:val="1"/>
      <w:marLeft w:val="0"/>
      <w:marRight w:val="0"/>
      <w:marTop w:val="0"/>
      <w:marBottom w:val="0"/>
      <w:divBdr>
        <w:top w:val="none" w:sz="0" w:space="0" w:color="auto"/>
        <w:left w:val="none" w:sz="0" w:space="0" w:color="auto"/>
        <w:bottom w:val="none" w:sz="0" w:space="0" w:color="auto"/>
        <w:right w:val="none" w:sz="0" w:space="0" w:color="auto"/>
      </w:divBdr>
      <w:divsChild>
        <w:div w:id="1427843858">
          <w:marLeft w:val="0"/>
          <w:marRight w:val="0"/>
          <w:marTop w:val="0"/>
          <w:marBottom w:val="0"/>
          <w:divBdr>
            <w:top w:val="none" w:sz="0" w:space="0" w:color="auto"/>
            <w:left w:val="none" w:sz="0" w:space="0" w:color="auto"/>
            <w:bottom w:val="none" w:sz="0" w:space="0" w:color="auto"/>
            <w:right w:val="none" w:sz="0" w:space="0" w:color="auto"/>
          </w:divBdr>
          <w:divsChild>
            <w:div w:id="11531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2019-11-29T06:48:00Z</dcterms:modified>
</cp:coreProperties>
</file>